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You must fill out the online application for LLCC to earn dual credit. (You will need your Social Security number for the application.) </w:t>
      </w:r>
    </w:p>
    <w:p w:rsidR="00000000" w:rsidDel="00000000" w:rsidP="00000000" w:rsidRDefault="00000000" w:rsidRPr="00000000">
      <w:pPr>
        <w:pBdr/>
        <w:contextualSpacing w:val="0"/>
        <w:rPr>
          <w:b w:val="1"/>
          <w:sz w:val="16"/>
          <w:szCs w:val="16"/>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rtl w:val="0"/>
        </w:rPr>
        <w:t xml:space="preserve">Tech Math and Calculus students must fill out the LLCC online application by </w:t>
      </w:r>
      <w:r w:rsidDel="00000000" w:rsidR="00000000" w:rsidRPr="00000000">
        <w:rPr>
          <w:b w:val="1"/>
          <w:sz w:val="36"/>
          <w:szCs w:val="36"/>
          <w:u w:val="single"/>
          <w:rtl w:val="0"/>
        </w:rPr>
        <w:t xml:space="preserve">June 1</w:t>
      </w:r>
      <w:r w:rsidDel="00000000" w:rsidR="00000000" w:rsidRPr="00000000">
        <w:rPr>
          <w:b w:val="1"/>
          <w:sz w:val="36"/>
          <w:szCs w:val="36"/>
          <w:u w:val="single"/>
          <w:vertAlign w:val="superscript"/>
          <w:rtl w:val="0"/>
        </w:rPr>
        <w:t xml:space="preserve">st</w:t>
      </w:r>
      <w:r w:rsidDel="00000000" w:rsidR="00000000" w:rsidRPr="00000000">
        <w:rPr>
          <w:b w:val="1"/>
          <w:sz w:val="28"/>
          <w:szCs w:val="28"/>
          <w:u w:val="single"/>
          <w:rtl w:val="0"/>
        </w:rPr>
        <w:t xml:space="preserve">.</w:t>
      </w:r>
    </w:p>
    <w:p w:rsidR="00000000" w:rsidDel="00000000" w:rsidP="00000000" w:rsidRDefault="00000000" w:rsidRPr="00000000">
      <w:pPr>
        <w:pBdr/>
        <w:contextualSpacing w:val="0"/>
        <w:rPr>
          <w:sz w:val="16"/>
          <w:szCs w:val="16"/>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Go to: </w:t>
      </w:r>
      <w:hyperlink r:id="rId5">
        <w:r w:rsidDel="00000000" w:rsidR="00000000" w:rsidRPr="00000000">
          <w:rPr>
            <w:color w:val="1155cc"/>
            <w:sz w:val="28"/>
            <w:szCs w:val="28"/>
            <w:u w:val="single"/>
            <w:rtl w:val="0"/>
          </w:rPr>
          <w:t xml:space="preserve">https://forms.llcc.edu/applyonline/</w:t>
        </w:r>
      </w:hyperlink>
      <w:r w:rsidDel="00000000" w:rsidR="00000000" w:rsidRPr="00000000">
        <w:rPr>
          <w:sz w:val="28"/>
          <w:szCs w:val="28"/>
          <w:rtl w:val="0"/>
        </w:rPr>
        <w:t xml:space="preserve"> to start the online application</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Fill in the application with extra consideration to Step #7 and Step #8:</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Step # 7 – you must check the box for “Dual Credit” near the bottom of the page</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Step #8 – when asked, “I am a…” you must select “Dual Credit Student”</w:t>
      </w:r>
    </w:p>
    <w:p w:rsidR="00000000" w:rsidDel="00000000" w:rsidP="00000000" w:rsidRDefault="00000000" w:rsidRPr="00000000">
      <w:pPr>
        <w:pBdr/>
        <w:contextualSpacing w:val="0"/>
        <w:rPr>
          <w:sz w:val="16"/>
          <w:szCs w:val="16"/>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At the end of the application, you may then review your answers or click Finish at the bottom of the page to submit your LLCC online application. An email will be sent to the email address you provided in the application with your student ID number and important information about your dual credit courses. It is very important that you read these emails carefully, as the grades and completion of dual credit courses may affect future college acceptance and financial aid.</w:t>
      </w:r>
    </w:p>
    <w:p w:rsidR="00000000" w:rsidDel="00000000" w:rsidP="00000000" w:rsidRDefault="00000000" w:rsidRPr="00000000">
      <w:pPr>
        <w:pBdr/>
        <w:contextualSpacing w:val="0"/>
        <w:rPr>
          <w:sz w:val="16"/>
          <w:szCs w:val="16"/>
        </w:rPr>
      </w:pPr>
      <w:r w:rsidDel="00000000" w:rsidR="00000000" w:rsidRPr="00000000">
        <w:rPr>
          <w:rtl w:val="0"/>
        </w:rPr>
      </w:r>
    </w:p>
    <w:p w:rsidR="00000000" w:rsidDel="00000000" w:rsidP="00000000" w:rsidRDefault="00000000" w:rsidRPr="00000000">
      <w:pPr>
        <w:pBdr/>
        <w:contextualSpacing w:val="0"/>
        <w:rPr>
          <w:sz w:val="28"/>
          <w:szCs w:val="28"/>
          <w:u w:val="single"/>
        </w:rPr>
      </w:pPr>
      <w:r w:rsidDel="00000000" w:rsidR="00000000" w:rsidRPr="00000000">
        <w:rPr>
          <w:sz w:val="28"/>
          <w:szCs w:val="28"/>
          <w:u w:val="single"/>
          <w:rtl w:val="0"/>
        </w:rPr>
        <w:t xml:space="preserve">Test Scores to Qualify for Dual Credit</w:t>
      </w:r>
    </w:p>
    <w:p w:rsidR="00000000" w:rsidDel="00000000" w:rsidP="00000000" w:rsidRDefault="00000000" w:rsidRPr="00000000">
      <w:pPr>
        <w:pBdr/>
        <w:contextualSpacing w:val="0"/>
        <w:rPr>
          <w:sz w:val="28"/>
          <w:szCs w:val="28"/>
          <w:u w:val="single"/>
        </w:rPr>
      </w:pPr>
      <w:r w:rsidDel="00000000" w:rsidR="00000000" w:rsidRPr="00000000">
        <w:rPr>
          <w:rtl w:val="0"/>
        </w:rPr>
      </w:r>
    </w:p>
    <w:p w:rsidR="00000000" w:rsidDel="00000000" w:rsidP="00000000" w:rsidRDefault="00000000" w:rsidRPr="00000000">
      <w:pPr>
        <w:pBdr/>
        <w:contextualSpacing w:val="0"/>
        <w:rPr>
          <w:sz w:val="28"/>
          <w:szCs w:val="28"/>
          <w:u w:val="single"/>
        </w:rPr>
      </w:pPr>
      <w:r w:rsidDel="00000000" w:rsidR="00000000" w:rsidRPr="00000000">
        <w:rPr>
          <w:sz w:val="28"/>
          <w:szCs w:val="28"/>
          <w:u w:val="single"/>
          <w:rtl w:val="0"/>
        </w:rPr>
        <w:t xml:space="preserve">Calculus</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ACT- 22 Math</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SAT - 530 Math</w:t>
      </w:r>
    </w:p>
    <w:p w:rsidR="00000000" w:rsidDel="00000000" w:rsidP="00000000" w:rsidRDefault="00000000" w:rsidRPr="00000000">
      <w:pPr>
        <w:pBdr/>
        <w:contextualSpacing w:val="0"/>
        <w:rPr>
          <w:sz w:val="28"/>
          <w:szCs w:val="28"/>
          <w:u w:val="single"/>
        </w:rPr>
      </w:pPr>
      <w:r w:rsidDel="00000000" w:rsidR="00000000" w:rsidRPr="00000000">
        <w:rPr>
          <w:rtl w:val="0"/>
        </w:rPr>
      </w:r>
    </w:p>
    <w:p w:rsidR="00000000" w:rsidDel="00000000" w:rsidP="00000000" w:rsidRDefault="00000000" w:rsidRPr="00000000">
      <w:pPr>
        <w:pBdr/>
        <w:contextualSpacing w:val="0"/>
        <w:rPr>
          <w:sz w:val="28"/>
          <w:szCs w:val="28"/>
          <w:u w:val="single"/>
        </w:rPr>
      </w:pPr>
      <w:r w:rsidDel="00000000" w:rsidR="00000000" w:rsidRPr="00000000">
        <w:rPr>
          <w:sz w:val="28"/>
          <w:szCs w:val="28"/>
          <w:u w:val="single"/>
          <w:rtl w:val="0"/>
        </w:rPr>
        <w:t xml:space="preserve">Honors English IV (English 101)</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ACT- 22 English AND Reading</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SAT- 520 English AND Reading</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*If students do not qualify with ACT or SAT they can take the Accuplacer Placement Test at LLCC.*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Tech Math and Modern US History do not have test score requirements, but students </w:t>
      </w:r>
      <w:r w:rsidDel="00000000" w:rsidR="00000000" w:rsidRPr="00000000">
        <w:rPr>
          <w:b w:val="1"/>
          <w:sz w:val="28"/>
          <w:szCs w:val="28"/>
          <w:u w:val="single"/>
          <w:rtl w:val="0"/>
        </w:rPr>
        <w:t xml:space="preserve">MUST </w:t>
      </w:r>
      <w:r w:rsidDel="00000000" w:rsidR="00000000" w:rsidRPr="00000000">
        <w:rPr>
          <w:sz w:val="28"/>
          <w:szCs w:val="28"/>
          <w:rtl w:val="0"/>
        </w:rPr>
        <w:t xml:space="preserve"> still f</w:t>
      </w:r>
      <w:r w:rsidDel="00000000" w:rsidR="00000000" w:rsidRPr="00000000">
        <w:rPr>
          <w:sz w:val="28"/>
          <w:szCs w:val="28"/>
          <w:rtl w:val="0"/>
        </w:rPr>
        <w:t xml:space="preserve">ill out the online application. </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8"/>
        <w:szCs w:val="28"/>
        <w:rtl w:val="0"/>
      </w:rPr>
      <w:t xml:space="preserve">2017-18 Dual Credit Information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forms.llcc.edu/applyonline/" TargetMode="External"/><Relationship Id="rId6" Type="http://schemas.openxmlformats.org/officeDocument/2006/relationships/header" Target="header1.xml"/></Relationships>
</file>